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F1" w:rsidRPr="003762AB" w:rsidRDefault="005F7E71">
      <w:pPr>
        <w:rPr>
          <w:b/>
          <w:sz w:val="28"/>
          <w:szCs w:val="28"/>
        </w:rPr>
      </w:pPr>
      <w:r w:rsidRPr="003762AB">
        <w:rPr>
          <w:b/>
          <w:sz w:val="28"/>
          <w:szCs w:val="28"/>
        </w:rPr>
        <w:t>Juhendmaterjal “Hoonete hüdroisolatsioonid DIN 18533:2017 järgi”</w:t>
      </w:r>
    </w:p>
    <w:p w:rsidR="00B62EF3" w:rsidRPr="005F7E71" w:rsidRDefault="00B62EF3">
      <w:pPr>
        <w:rPr>
          <w:b/>
        </w:rPr>
      </w:pPr>
      <w:r>
        <w:rPr>
          <w:b/>
        </w:rPr>
        <w:t>Alar Piirfeld 2018</w:t>
      </w:r>
    </w:p>
    <w:p w:rsidR="005F7E71" w:rsidRDefault="005F7E71">
      <w:pPr>
        <w:rPr>
          <w:rStyle w:val="Rhutus"/>
          <w:i w:val="0"/>
        </w:rPr>
      </w:pPr>
      <w:r>
        <w:t xml:space="preserve">Eestis puuduvad hoonete hüdroisolatsioone  käsitlevad ehitusideoloogiliselt süsteemselt ja seostatult ülesehitatud  ehituslikud normid. </w:t>
      </w:r>
      <w:proofErr w:type="spellStart"/>
      <w:r>
        <w:t>Hüdroisoleerimine</w:t>
      </w:r>
      <w:proofErr w:type="spellEnd"/>
      <w:r>
        <w:t xml:space="preserve"> Eestis käib materjalimüüjate juhusliku ja üksteisele vasturääkiva info alusel.  Paljuski tehakse ka omaloomingut, sealhulgas ka</w:t>
      </w:r>
      <w:r w:rsidR="00095A32">
        <w:t xml:space="preserve"> 7. ja 8.kategooria ehitus</w:t>
      </w:r>
      <w:r>
        <w:t xml:space="preserve">inseneride tasemel, tundmata valdkonna spetsiifilisi probleeme. Nii nagu muudes ehitusvaldkondades pole selle eest seisvad ametkonnad ega organisatsioonid  osutanud üles huvi </w:t>
      </w:r>
      <w:proofErr w:type="spellStart"/>
      <w:r>
        <w:t>hüdroisoleerimisvaldkonda</w:t>
      </w:r>
      <w:proofErr w:type="spellEnd"/>
      <w:r>
        <w:t xml:space="preserve">  tehnilis</w:t>
      </w:r>
      <w:r w:rsidR="00095A32">
        <w:t xml:space="preserve">e dokumentatsiooniga korrastada ning ehitusideoloogiliselt ühtne , kõigile arusaadav  </w:t>
      </w:r>
      <w:r>
        <w:t xml:space="preserve"> süsteem</w:t>
      </w:r>
      <w:r w:rsidR="00095A32">
        <w:t xml:space="preserve"> luua. Va</w:t>
      </w:r>
      <w:r>
        <w:t xml:space="preserve">rem on ilmunud küll juhendmaterjal </w:t>
      </w:r>
      <w:r w:rsidRPr="005F7E71">
        <w:rPr>
          <w:rStyle w:val="Rhutus"/>
        </w:rPr>
        <w:t>ET</w:t>
      </w:r>
      <w:r w:rsidRPr="005F7E71">
        <w:rPr>
          <w:rStyle w:val="st"/>
        </w:rPr>
        <w:t xml:space="preserve">-2 </w:t>
      </w:r>
      <w:r w:rsidRPr="00095A32">
        <w:rPr>
          <w:rStyle w:val="st"/>
          <w:i/>
        </w:rPr>
        <w:t>0501-0614</w:t>
      </w:r>
      <w:r w:rsidRPr="005F7E71">
        <w:rPr>
          <w:rStyle w:val="st"/>
        </w:rPr>
        <w:t xml:space="preserve"> </w:t>
      </w:r>
      <w:r w:rsidRPr="005F7E71">
        <w:rPr>
          <w:rStyle w:val="Rhutus"/>
        </w:rPr>
        <w:t>Hoonete hüdroisolatsioon</w:t>
      </w:r>
      <w:r>
        <w:rPr>
          <w:rStyle w:val="Rhutus"/>
        </w:rPr>
        <w:t xml:space="preserve">, </w:t>
      </w:r>
      <w:r>
        <w:rPr>
          <w:rStyle w:val="Rhutus"/>
          <w:i w:val="0"/>
        </w:rPr>
        <w:t xml:space="preserve">mis põhineb standardil DIN 18195, aga  </w:t>
      </w:r>
      <w:r w:rsidR="00095A32">
        <w:rPr>
          <w:rStyle w:val="Rhutus"/>
          <w:i w:val="0"/>
        </w:rPr>
        <w:t xml:space="preserve">ei insenerid, projekteerijad rääkimata arhitektidest ja tellijatest ei ole selle materjaliga  tuttavad. Ei ole ka </w:t>
      </w:r>
      <w:proofErr w:type="spellStart"/>
      <w:r w:rsidR="00095A32">
        <w:rPr>
          <w:rStyle w:val="Rhutus"/>
          <w:i w:val="0"/>
        </w:rPr>
        <w:t>selleteemalisi</w:t>
      </w:r>
      <w:proofErr w:type="spellEnd"/>
      <w:r w:rsidR="00095A32">
        <w:rPr>
          <w:rStyle w:val="Rhutus"/>
          <w:i w:val="0"/>
        </w:rPr>
        <w:t xml:space="preserve"> õpikuid ega käsiraamatuid. </w:t>
      </w:r>
    </w:p>
    <w:p w:rsidR="00B62EF3" w:rsidRDefault="00B62EF3">
      <w:r>
        <w:t xml:space="preserve">Enesestmõistetav, et meie väikese vabariigi insener-tehnilist potentsiaali ei saa võrrelda Euroopa suurriikidega, kus on välja töötatud vastavad kõikehõlmavad riiklikud normid ja standardid. Arusaamatuks jääb siinjuures miks ei rakendata Eestis välismaise  kompetentse insenerkonna kogemusi , teadmisi, norme ja standardeid. Pole vajadust leiutada jalgratast – see on juba ammu leiutatud. Sellises situatsioonis pole mingi ime, et suur osa hüdroisolatsioone ei tööta või lakkavad töötamast varsti peale paigaldust. Kui defektne hüdroisolatsioon on välispinnal (rõdul, terrassil, katusel) , siis selle </w:t>
      </w:r>
      <w:r w:rsidR="00EC1E20">
        <w:t xml:space="preserve"> funktsiooni taastamine  on küll kulukas, aga teostatav. Kui aga tegemist on maa-aluste hüdroisolatsioonidega, siis  hüdroisolatsiooni funktsiooni taastamine on äärmiselt kallis, pahatihti isegi võimatu. Defektne hüdroisolatsioonimaterjal maapinnas tähendab, et hüdroisolatsiooni ei ole. </w:t>
      </w:r>
    </w:p>
    <w:p w:rsidR="00EC1E20" w:rsidRDefault="00EC1E20">
      <w:r>
        <w:t xml:space="preserve">Käesoleval juhendmaterjalil ei ole Eestis juriidilist jõudu kuni seda pole standardiks või normiks tunnistatud. See aga ei keela tellijatel, inseneridel, arhitektidel, projekteerijatel ja ehitajatel võtta see  aluseks hoonete </w:t>
      </w:r>
      <w:proofErr w:type="spellStart"/>
      <w:r>
        <w:t>hüdroisoleerimiseks</w:t>
      </w:r>
      <w:proofErr w:type="spellEnd"/>
      <w:r>
        <w:t>. Selle juhendmaterjali järgi tehes kasutatakse Saksamaa väga suurt insener-tehnilist potentsiaali ja on tunduvalt suurem tõenäosus hüdroisolatsiooni kauaaegsel funktsioneerimisel kui kasutades Eestis levinud mittemidagiütlevat „Ehitustava“.</w:t>
      </w:r>
    </w:p>
    <w:p w:rsidR="00EC1E20" w:rsidRDefault="00EC1E20">
      <w:r>
        <w:t>2017 aastal ilmus Saksamaal 5 hüdro</w:t>
      </w:r>
      <w:r w:rsidR="0042403B">
        <w:t xml:space="preserve">isolatsiooni käsitlevat normi, mis asendas seni kehtinud DIN 18195 (mille alusel on välja antud </w:t>
      </w:r>
      <w:r w:rsidR="0042403B" w:rsidRPr="005F7E71">
        <w:rPr>
          <w:rStyle w:val="Rhutus"/>
        </w:rPr>
        <w:t>ET</w:t>
      </w:r>
      <w:r w:rsidR="0042403B" w:rsidRPr="005F7E71">
        <w:rPr>
          <w:rStyle w:val="st"/>
        </w:rPr>
        <w:t xml:space="preserve">-2 </w:t>
      </w:r>
      <w:r w:rsidR="0042403B" w:rsidRPr="00095A32">
        <w:rPr>
          <w:rStyle w:val="st"/>
          <w:i/>
        </w:rPr>
        <w:t>0501-0614</w:t>
      </w:r>
      <w:r w:rsidR="0042403B" w:rsidRPr="005F7E71">
        <w:rPr>
          <w:rStyle w:val="st"/>
        </w:rPr>
        <w:t xml:space="preserve"> </w:t>
      </w:r>
      <w:r w:rsidR="0042403B" w:rsidRPr="005F7E71">
        <w:rPr>
          <w:rStyle w:val="Rhutus"/>
        </w:rPr>
        <w:t>Hoonete hüdroisolatsioon</w:t>
      </w:r>
      <w:r w:rsidR="0042403B">
        <w:rPr>
          <w:rStyle w:val="Rhutus"/>
        </w:rPr>
        <w:t>)</w:t>
      </w:r>
      <w:r w:rsidR="0042403B">
        <w:t>:</w:t>
      </w:r>
    </w:p>
    <w:p w:rsidR="0042403B" w:rsidRDefault="0042403B" w:rsidP="0042403B">
      <w:pPr>
        <w:pStyle w:val="Loendilik"/>
        <w:numPr>
          <w:ilvl w:val="0"/>
          <w:numId w:val="1"/>
        </w:numPr>
      </w:pPr>
      <w:r>
        <w:t>DIN 18531</w:t>
      </w:r>
      <w:r w:rsidR="006F0CCE">
        <w:t xml:space="preserve"> – </w:t>
      </w:r>
      <w:r w:rsidR="002D7180">
        <w:t xml:space="preserve">Katuste ja </w:t>
      </w:r>
      <w:hyperlink r:id="rId5" w:history="1">
        <w:r w:rsidR="002D7180" w:rsidRPr="00BB31B9">
          <w:rPr>
            <w:rStyle w:val="Hperlink"/>
          </w:rPr>
          <w:t>rõdude</w:t>
        </w:r>
        <w:r w:rsidR="002D7180" w:rsidRPr="00F221B2">
          <w:rPr>
            <w:rStyle w:val="Hperlink"/>
            <w:color w:val="2F5496" w:themeColor="accent1" w:themeShade="BF"/>
          </w:rPr>
          <w:t xml:space="preserve"> </w:t>
        </w:r>
        <w:proofErr w:type="spellStart"/>
        <w:r w:rsidR="002D7180" w:rsidRPr="00F221B2">
          <w:rPr>
            <w:rStyle w:val="Hperlink"/>
            <w:color w:val="2F5496" w:themeColor="accent1" w:themeShade="BF"/>
          </w:rPr>
          <w:t>hüdroisoleerimine</w:t>
        </w:r>
        <w:proofErr w:type="spellEnd"/>
      </w:hyperlink>
    </w:p>
    <w:p w:rsidR="0042403B" w:rsidRDefault="00B41976" w:rsidP="0042403B">
      <w:pPr>
        <w:pStyle w:val="Loendilik"/>
        <w:numPr>
          <w:ilvl w:val="0"/>
          <w:numId w:val="1"/>
        </w:numPr>
      </w:pPr>
      <w:hyperlink r:id="rId6" w:history="1">
        <w:r w:rsidR="0042403B" w:rsidRPr="0079570E">
          <w:rPr>
            <w:rStyle w:val="Hperlink"/>
          </w:rPr>
          <w:t>DIN 18532</w:t>
        </w:r>
        <w:r w:rsidR="006F0CCE" w:rsidRPr="0079570E">
          <w:rPr>
            <w:rStyle w:val="Hperlink"/>
          </w:rPr>
          <w:t xml:space="preserve"> </w:t>
        </w:r>
        <w:r w:rsidR="002D7180" w:rsidRPr="0079570E">
          <w:rPr>
            <w:rStyle w:val="Hperlink"/>
          </w:rPr>
          <w:t>–</w:t>
        </w:r>
        <w:r w:rsidR="006F0CCE" w:rsidRPr="0079570E">
          <w:rPr>
            <w:rStyle w:val="Hperlink"/>
          </w:rPr>
          <w:t xml:space="preserve"> </w:t>
        </w:r>
        <w:r w:rsidR="00CE7A22" w:rsidRPr="0079570E">
          <w:rPr>
            <w:rStyle w:val="Hperlink"/>
          </w:rPr>
          <w:t>Liiklu</w:t>
        </w:r>
        <w:r w:rsidR="00D426DC" w:rsidRPr="0079570E">
          <w:rPr>
            <w:rStyle w:val="Hperlink"/>
          </w:rPr>
          <w:t>s</w:t>
        </w:r>
        <w:r w:rsidR="00CE7A22" w:rsidRPr="0079570E">
          <w:rPr>
            <w:rStyle w:val="Hperlink"/>
          </w:rPr>
          <w:t xml:space="preserve">pindade </w:t>
        </w:r>
        <w:proofErr w:type="spellStart"/>
        <w:r w:rsidR="00CE7A22" w:rsidRPr="0079570E">
          <w:rPr>
            <w:rStyle w:val="Hperlink"/>
          </w:rPr>
          <w:t>hüdroisoleerimine</w:t>
        </w:r>
        <w:proofErr w:type="spellEnd"/>
      </w:hyperlink>
    </w:p>
    <w:p w:rsidR="0042403B" w:rsidRDefault="0042403B" w:rsidP="0042403B">
      <w:pPr>
        <w:pStyle w:val="Loendilik"/>
        <w:numPr>
          <w:ilvl w:val="0"/>
          <w:numId w:val="1"/>
        </w:numPr>
      </w:pPr>
      <w:r>
        <w:t>DIN 18533</w:t>
      </w:r>
      <w:r w:rsidR="002D7180">
        <w:t xml:space="preserve"> - Maaga </w:t>
      </w:r>
      <w:proofErr w:type="spellStart"/>
      <w:r w:rsidR="002D7180">
        <w:t>kokkupuutuvate</w:t>
      </w:r>
      <w:proofErr w:type="spellEnd"/>
      <w:r w:rsidR="002D7180">
        <w:t xml:space="preserve"> ehitisosade </w:t>
      </w:r>
      <w:proofErr w:type="spellStart"/>
      <w:r w:rsidR="002D7180">
        <w:t>hüdroisoleerimine</w:t>
      </w:r>
      <w:proofErr w:type="spellEnd"/>
    </w:p>
    <w:p w:rsidR="0042403B" w:rsidRDefault="0042403B" w:rsidP="0042403B">
      <w:pPr>
        <w:pStyle w:val="Loendilik"/>
        <w:numPr>
          <w:ilvl w:val="0"/>
          <w:numId w:val="1"/>
        </w:numPr>
      </w:pPr>
      <w:r>
        <w:t>DIN 18534</w:t>
      </w:r>
      <w:r w:rsidR="002D7180">
        <w:t xml:space="preserve"> – Siseruumide </w:t>
      </w:r>
      <w:proofErr w:type="spellStart"/>
      <w:r w:rsidR="002D7180">
        <w:t>hüdroisoleerimine</w:t>
      </w:r>
      <w:proofErr w:type="spellEnd"/>
    </w:p>
    <w:p w:rsidR="0042403B" w:rsidRDefault="0042403B" w:rsidP="0042403B">
      <w:pPr>
        <w:pStyle w:val="Loendilik"/>
        <w:numPr>
          <w:ilvl w:val="0"/>
          <w:numId w:val="1"/>
        </w:numPr>
      </w:pPr>
      <w:r>
        <w:t>DIN 18535</w:t>
      </w:r>
      <w:r w:rsidR="002D7180">
        <w:t xml:space="preserve"> – Mahutite ja vannide </w:t>
      </w:r>
      <w:proofErr w:type="spellStart"/>
      <w:r w:rsidR="002D7180">
        <w:t>hüdroisoleerimine</w:t>
      </w:r>
      <w:bookmarkStart w:id="0" w:name="_GoBack"/>
      <w:bookmarkEnd w:id="0"/>
      <w:proofErr w:type="spellEnd"/>
    </w:p>
    <w:p w:rsidR="000B2A9F" w:rsidRDefault="000B2A9F" w:rsidP="000B2A9F"/>
    <w:p w:rsidR="000B2A9F" w:rsidRPr="000B2A9F" w:rsidRDefault="000B2A9F" w:rsidP="000B2A9F">
      <w:pPr>
        <w:rPr>
          <w:b/>
        </w:rPr>
      </w:pPr>
      <w:r w:rsidRPr="000B2A9F">
        <w:rPr>
          <w:b/>
        </w:rPr>
        <w:t xml:space="preserve">DIN 18533 Maaga </w:t>
      </w:r>
      <w:proofErr w:type="spellStart"/>
      <w:r w:rsidRPr="000B2A9F">
        <w:rPr>
          <w:b/>
        </w:rPr>
        <w:t>kokkupuutuvate</w:t>
      </w:r>
      <w:proofErr w:type="spellEnd"/>
      <w:r w:rsidRPr="000B2A9F">
        <w:rPr>
          <w:b/>
        </w:rPr>
        <w:t xml:space="preserve"> ehitisosade </w:t>
      </w:r>
      <w:proofErr w:type="spellStart"/>
      <w:r w:rsidRPr="000B2A9F">
        <w:rPr>
          <w:b/>
        </w:rPr>
        <w:t>hüdroisoleerimine</w:t>
      </w:r>
      <w:proofErr w:type="spellEnd"/>
      <w:r w:rsidR="00E217EB">
        <w:rPr>
          <w:b/>
        </w:rPr>
        <w:t xml:space="preserve"> </w:t>
      </w:r>
      <w:r w:rsidR="00E217EB" w:rsidRPr="00E217EB">
        <w:rPr>
          <w:i/>
        </w:rPr>
        <w:t>(peatükid ilmuvad nende valmimise järel)</w:t>
      </w:r>
    </w:p>
    <w:p w:rsidR="000B2A9F" w:rsidRDefault="00B41976" w:rsidP="000B2A9F">
      <w:pPr>
        <w:pStyle w:val="Loendilik"/>
        <w:numPr>
          <w:ilvl w:val="2"/>
          <w:numId w:val="5"/>
        </w:numPr>
      </w:pPr>
      <w:hyperlink r:id="rId7" w:history="1">
        <w:r w:rsidR="000B2A9F" w:rsidRPr="00B41976">
          <w:rPr>
            <w:rStyle w:val="Hperlink"/>
          </w:rPr>
          <w:t>Nõuded</w:t>
        </w:r>
      </w:hyperlink>
    </w:p>
    <w:p w:rsidR="000B2A9F" w:rsidRDefault="000B2A9F" w:rsidP="000B2A9F">
      <w:pPr>
        <w:pStyle w:val="Loendilik"/>
        <w:numPr>
          <w:ilvl w:val="2"/>
          <w:numId w:val="5"/>
        </w:numPr>
      </w:pPr>
      <w:r>
        <w:t>Mõjud ja kasutusklassid</w:t>
      </w:r>
    </w:p>
    <w:p w:rsidR="000B2A9F" w:rsidRDefault="000B2A9F" w:rsidP="000B2A9F">
      <w:pPr>
        <w:pStyle w:val="Loendilik"/>
        <w:numPr>
          <w:ilvl w:val="2"/>
          <w:numId w:val="5"/>
        </w:numPr>
      </w:pPr>
      <w:r>
        <w:t>Ehituslikud nõuded</w:t>
      </w:r>
    </w:p>
    <w:p w:rsidR="000B2A9F" w:rsidRDefault="000B2A9F" w:rsidP="000B2A9F">
      <w:pPr>
        <w:pStyle w:val="Loendilik"/>
        <w:numPr>
          <w:ilvl w:val="2"/>
          <w:numId w:val="5"/>
        </w:numPr>
      </w:pPr>
      <w:r>
        <w:t>Hüdroisolatsioonimaterjalid ja nende töötlemine</w:t>
      </w:r>
    </w:p>
    <w:p w:rsidR="000B2A9F" w:rsidRDefault="000B2A9F" w:rsidP="000B2A9F">
      <w:pPr>
        <w:pStyle w:val="Loendilik"/>
        <w:numPr>
          <w:ilvl w:val="2"/>
          <w:numId w:val="5"/>
        </w:numPr>
      </w:pPr>
      <w:r>
        <w:t>Projekteerimise alused</w:t>
      </w:r>
    </w:p>
    <w:p w:rsidR="000B2A9F" w:rsidRDefault="000B2A9F" w:rsidP="000B2A9F">
      <w:pPr>
        <w:pStyle w:val="Loendilik"/>
        <w:numPr>
          <w:ilvl w:val="2"/>
          <w:numId w:val="5"/>
        </w:numPr>
      </w:pPr>
      <w:r>
        <w:t xml:space="preserve">Maa-aluste ehitisosade </w:t>
      </w:r>
      <w:proofErr w:type="spellStart"/>
      <w:r>
        <w:t>hüdroisoleerimine</w:t>
      </w:r>
      <w:proofErr w:type="spellEnd"/>
      <w:r>
        <w:t xml:space="preserve"> W1-E puhul</w:t>
      </w:r>
    </w:p>
    <w:p w:rsidR="000B2A9F" w:rsidRDefault="000B2A9F" w:rsidP="000B2A9F">
      <w:pPr>
        <w:pStyle w:val="Loendilik"/>
        <w:numPr>
          <w:ilvl w:val="2"/>
          <w:numId w:val="5"/>
        </w:numPr>
      </w:pPr>
      <w:r>
        <w:lastRenderedPageBreak/>
        <w:t xml:space="preserve">Maa-aluste ehitisosade </w:t>
      </w:r>
      <w:proofErr w:type="spellStart"/>
      <w:r>
        <w:t>hüdroisoleerimine</w:t>
      </w:r>
      <w:proofErr w:type="spellEnd"/>
      <w:r>
        <w:t xml:space="preserve"> W2-E puhul</w:t>
      </w:r>
    </w:p>
    <w:p w:rsidR="000B2A9F" w:rsidRDefault="000B2A9F" w:rsidP="000B2A9F">
      <w:pPr>
        <w:pStyle w:val="Loendilik"/>
        <w:numPr>
          <w:ilvl w:val="2"/>
          <w:numId w:val="5"/>
        </w:numPr>
      </w:pPr>
      <w:r>
        <w:t xml:space="preserve">Maa-aluste katuste </w:t>
      </w:r>
      <w:proofErr w:type="spellStart"/>
      <w:r>
        <w:t>hüdroisoleerimine</w:t>
      </w:r>
      <w:proofErr w:type="spellEnd"/>
      <w:r>
        <w:t xml:space="preserve"> W3-E puhul</w:t>
      </w:r>
    </w:p>
    <w:p w:rsidR="005B7372" w:rsidRDefault="005B7372" w:rsidP="005B7372">
      <w:pPr>
        <w:pStyle w:val="Loendilik"/>
        <w:numPr>
          <w:ilvl w:val="2"/>
          <w:numId w:val="5"/>
        </w:numPr>
      </w:pPr>
      <w:r>
        <w:t xml:space="preserve">Soklite kui ka seina all ja sees olevate  ehitisosade </w:t>
      </w:r>
      <w:proofErr w:type="spellStart"/>
      <w:r>
        <w:t>hüdroisoleerimine</w:t>
      </w:r>
      <w:proofErr w:type="spellEnd"/>
      <w:r>
        <w:t xml:space="preserve"> W4-E puhul</w:t>
      </w:r>
    </w:p>
    <w:p w:rsidR="000B2A9F" w:rsidRDefault="005B7372" w:rsidP="000B2A9F">
      <w:pPr>
        <w:pStyle w:val="Loendilik"/>
        <w:numPr>
          <w:ilvl w:val="2"/>
          <w:numId w:val="5"/>
        </w:numPr>
      </w:pPr>
      <w:r>
        <w:t>Põranda- ja seinahüdroisolatsiooni üleminek</w:t>
      </w:r>
    </w:p>
    <w:p w:rsidR="005B7372" w:rsidRDefault="005B7372" w:rsidP="000B2A9F">
      <w:pPr>
        <w:pStyle w:val="Loendilik"/>
        <w:numPr>
          <w:ilvl w:val="2"/>
          <w:numId w:val="5"/>
        </w:numPr>
      </w:pPr>
      <w:r>
        <w:t xml:space="preserve">Läbiviikude </w:t>
      </w:r>
      <w:proofErr w:type="spellStart"/>
      <w:r>
        <w:t>hüdroisoleerimine</w:t>
      </w:r>
      <w:proofErr w:type="spellEnd"/>
    </w:p>
    <w:p w:rsidR="005B7372" w:rsidRDefault="005B7372" w:rsidP="000B2A9F">
      <w:pPr>
        <w:pStyle w:val="Loendilik"/>
        <w:numPr>
          <w:ilvl w:val="2"/>
          <w:numId w:val="5"/>
        </w:numPr>
      </w:pPr>
      <w:r>
        <w:t xml:space="preserve">Deformatsioonivuukide </w:t>
      </w:r>
      <w:proofErr w:type="spellStart"/>
      <w:r>
        <w:t>hüdroisoleerimine</w:t>
      </w:r>
      <w:proofErr w:type="spellEnd"/>
    </w:p>
    <w:p w:rsidR="005B7372" w:rsidRDefault="005B7372" w:rsidP="000B2A9F">
      <w:pPr>
        <w:pStyle w:val="Loendilik"/>
        <w:numPr>
          <w:ilvl w:val="2"/>
          <w:numId w:val="5"/>
        </w:numPr>
      </w:pPr>
      <w:r>
        <w:t xml:space="preserve">Valguskastide ja välistreppide </w:t>
      </w:r>
      <w:proofErr w:type="spellStart"/>
      <w:r>
        <w:t>hüdroisoleerimine</w:t>
      </w:r>
      <w:proofErr w:type="spellEnd"/>
    </w:p>
    <w:p w:rsidR="005B7372" w:rsidRDefault="005B7372" w:rsidP="000B2A9F">
      <w:pPr>
        <w:pStyle w:val="Loendilik"/>
        <w:numPr>
          <w:ilvl w:val="2"/>
          <w:numId w:val="5"/>
        </w:numPr>
      </w:pPr>
      <w:r>
        <w:t>Abinõud hüdroisolatsiooni kaitseks</w:t>
      </w:r>
    </w:p>
    <w:p w:rsidR="005B7372" w:rsidRDefault="005B7372" w:rsidP="000B2A9F">
      <w:pPr>
        <w:pStyle w:val="Loendilik"/>
        <w:numPr>
          <w:ilvl w:val="2"/>
          <w:numId w:val="5"/>
        </w:numPr>
      </w:pPr>
      <w:r>
        <w:t>Tagasitäide</w:t>
      </w:r>
    </w:p>
    <w:p w:rsidR="005B7372" w:rsidRDefault="005B7372" w:rsidP="000B2A9F">
      <w:pPr>
        <w:pStyle w:val="Loendilik"/>
        <w:numPr>
          <w:ilvl w:val="2"/>
          <w:numId w:val="5"/>
        </w:numPr>
      </w:pPr>
      <w:r>
        <w:t>Renoveerimine</w:t>
      </w:r>
    </w:p>
    <w:p w:rsidR="005B7372" w:rsidRDefault="003D590B" w:rsidP="005B7372">
      <w:pPr>
        <w:pStyle w:val="Loendilik"/>
        <w:numPr>
          <w:ilvl w:val="1"/>
          <w:numId w:val="5"/>
        </w:numPr>
      </w:pPr>
      <w:r>
        <w:t>Maa-aluste ehitisosade r</w:t>
      </w:r>
      <w:r w:rsidR="00CD38D3">
        <w:t xml:space="preserve">ullmaterjalidega </w:t>
      </w:r>
      <w:proofErr w:type="spellStart"/>
      <w:r w:rsidR="00CD38D3">
        <w:t>hüdroisoleerimine</w:t>
      </w:r>
      <w:proofErr w:type="spellEnd"/>
    </w:p>
    <w:p w:rsidR="00CD38D3" w:rsidRDefault="00CD38D3" w:rsidP="00CD38D3">
      <w:pPr>
        <w:pStyle w:val="Loendilik"/>
        <w:numPr>
          <w:ilvl w:val="2"/>
          <w:numId w:val="5"/>
        </w:numPr>
      </w:pPr>
      <w:r>
        <w:t>Üldised reeglid</w:t>
      </w:r>
    </w:p>
    <w:p w:rsidR="00CD38D3" w:rsidRDefault="00CD38D3" w:rsidP="00CD38D3">
      <w:pPr>
        <w:pStyle w:val="Loendilik"/>
        <w:numPr>
          <w:ilvl w:val="2"/>
          <w:numId w:val="5"/>
        </w:numPr>
      </w:pPr>
      <w:r>
        <w:t>Ülevaade hüdroisolatsiooni rullmaterjalidest</w:t>
      </w:r>
    </w:p>
    <w:p w:rsidR="00CD38D3" w:rsidRDefault="00CD38D3" w:rsidP="00CD38D3">
      <w:pPr>
        <w:pStyle w:val="Loendilik"/>
        <w:numPr>
          <w:ilvl w:val="2"/>
          <w:numId w:val="5"/>
        </w:numPr>
      </w:pPr>
      <w:r>
        <w:t>Materjalide töötlemine rullmaterjalidest hüdroisolatsioonide puhul</w:t>
      </w:r>
    </w:p>
    <w:p w:rsidR="00CD38D3" w:rsidRDefault="00CD38D3" w:rsidP="00CD38D3">
      <w:pPr>
        <w:pStyle w:val="Loendilik"/>
        <w:numPr>
          <w:ilvl w:val="2"/>
          <w:numId w:val="5"/>
        </w:numPr>
      </w:pPr>
      <w:r>
        <w:t>Bituumen ja polümeerbituumen-rullmaterjalidest hüdroisolatsioonid</w:t>
      </w:r>
    </w:p>
    <w:p w:rsidR="00CD38D3" w:rsidRDefault="00CD38D3" w:rsidP="00CD38D3">
      <w:pPr>
        <w:pStyle w:val="Loendilik"/>
        <w:numPr>
          <w:ilvl w:val="2"/>
          <w:numId w:val="5"/>
        </w:numPr>
      </w:pPr>
      <w:r>
        <w:t>Plastrullmaterjalidest hüdroisolatsioonid</w:t>
      </w:r>
    </w:p>
    <w:p w:rsidR="00CD38D3" w:rsidRDefault="00CD38D3" w:rsidP="00CD38D3">
      <w:pPr>
        <w:pStyle w:val="Loendilik"/>
        <w:numPr>
          <w:ilvl w:val="2"/>
          <w:numId w:val="5"/>
        </w:numPr>
      </w:pPr>
      <w:r>
        <w:t>Põranda- ja seinahüdroisolatsiooni üleminekute teostused</w:t>
      </w:r>
    </w:p>
    <w:p w:rsidR="00CD38D3" w:rsidRDefault="003D590B" w:rsidP="00CD38D3">
      <w:pPr>
        <w:pStyle w:val="Loendilik"/>
        <w:numPr>
          <w:ilvl w:val="2"/>
          <w:numId w:val="5"/>
        </w:numPr>
      </w:pPr>
      <w:r>
        <w:t xml:space="preserve">Läbiviikude, deformatsioonivuukide jm </w:t>
      </w:r>
      <w:proofErr w:type="spellStart"/>
      <w:r>
        <w:t>hüdroisoleerimine</w:t>
      </w:r>
      <w:proofErr w:type="spellEnd"/>
    </w:p>
    <w:p w:rsidR="003D590B" w:rsidRDefault="003D590B" w:rsidP="003D590B">
      <w:pPr>
        <w:pStyle w:val="Loendilik"/>
        <w:numPr>
          <w:ilvl w:val="1"/>
          <w:numId w:val="5"/>
        </w:numPr>
      </w:pPr>
      <w:r>
        <w:t xml:space="preserve">Maa-aluste ehitisosade vedelplastidega </w:t>
      </w:r>
      <w:proofErr w:type="spellStart"/>
      <w:r>
        <w:t>hüdroisoleerimine</w:t>
      </w:r>
      <w:proofErr w:type="spellEnd"/>
    </w:p>
    <w:p w:rsidR="003D590B" w:rsidRDefault="00052D12" w:rsidP="003D590B">
      <w:pPr>
        <w:pStyle w:val="Loendilik"/>
        <w:numPr>
          <w:ilvl w:val="2"/>
          <w:numId w:val="5"/>
        </w:numPr>
      </w:pPr>
      <w:r>
        <w:t>Ainespetsiifilised reeglid</w:t>
      </w:r>
    </w:p>
    <w:p w:rsidR="00052D12" w:rsidRDefault="00052D12" w:rsidP="003D590B">
      <w:pPr>
        <w:pStyle w:val="Loendilik"/>
        <w:numPr>
          <w:ilvl w:val="2"/>
          <w:numId w:val="5"/>
        </w:numPr>
      </w:pPr>
      <w:r>
        <w:t>Vedelalt töödeldavad hüdroisolatsioonimaterjalid</w:t>
      </w:r>
    </w:p>
    <w:p w:rsidR="00052D12" w:rsidRDefault="00052D12" w:rsidP="003D590B">
      <w:pPr>
        <w:pStyle w:val="Loendilik"/>
        <w:numPr>
          <w:ilvl w:val="2"/>
          <w:numId w:val="5"/>
        </w:numPr>
      </w:pPr>
      <w:r>
        <w:t>Projekteerimisalused ja kasutuskohad</w:t>
      </w:r>
    </w:p>
    <w:p w:rsidR="00052D12" w:rsidRDefault="00052D12" w:rsidP="003D590B">
      <w:pPr>
        <w:pStyle w:val="Loendilik"/>
        <w:numPr>
          <w:ilvl w:val="2"/>
          <w:numId w:val="5"/>
        </w:numPr>
      </w:pPr>
      <w:r>
        <w:t>Polümeerbituumenkatted (PB)</w:t>
      </w:r>
    </w:p>
    <w:p w:rsidR="00052D12" w:rsidRDefault="00052D12" w:rsidP="003D590B">
      <w:pPr>
        <w:pStyle w:val="Loendilik"/>
        <w:numPr>
          <w:ilvl w:val="2"/>
          <w:numId w:val="5"/>
        </w:numPr>
      </w:pPr>
      <w:r>
        <w:t>Mineraalsed hüdroisolatsioonid (MH)</w:t>
      </w:r>
    </w:p>
    <w:p w:rsidR="00052D12" w:rsidRDefault="00052D12" w:rsidP="003D590B">
      <w:pPr>
        <w:pStyle w:val="Loendilik"/>
        <w:numPr>
          <w:ilvl w:val="2"/>
          <w:numId w:val="5"/>
        </w:numPr>
      </w:pPr>
      <w:r>
        <w:t xml:space="preserve">Vedelplastid </w:t>
      </w:r>
    </w:p>
    <w:p w:rsidR="003D590B" w:rsidRPr="000B2A9F" w:rsidRDefault="003D590B" w:rsidP="003D590B">
      <w:pPr>
        <w:pStyle w:val="Loendilik"/>
        <w:ind w:left="1080"/>
      </w:pPr>
    </w:p>
    <w:p w:rsidR="000B2A9F" w:rsidRDefault="000B2A9F" w:rsidP="000B2A9F"/>
    <w:p w:rsidR="00BB31B9" w:rsidRPr="005F7E71" w:rsidRDefault="00BB31B9" w:rsidP="00BB31B9"/>
    <w:sectPr w:rsidR="00BB31B9" w:rsidRPr="005F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0665"/>
    <w:multiLevelType w:val="hybridMultilevel"/>
    <w:tmpl w:val="20408DB0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0928"/>
    <w:multiLevelType w:val="multilevel"/>
    <w:tmpl w:val="E842F3F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63A0E47"/>
    <w:multiLevelType w:val="hybridMultilevel"/>
    <w:tmpl w:val="7BF4AB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43C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4E358F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71"/>
    <w:rsid w:val="00052D12"/>
    <w:rsid w:val="00095A32"/>
    <w:rsid w:val="000B2A9F"/>
    <w:rsid w:val="00122938"/>
    <w:rsid w:val="00242DF1"/>
    <w:rsid w:val="002D7180"/>
    <w:rsid w:val="003762AB"/>
    <w:rsid w:val="003D590B"/>
    <w:rsid w:val="0042403B"/>
    <w:rsid w:val="005B7372"/>
    <w:rsid w:val="005F7E71"/>
    <w:rsid w:val="006F0CCE"/>
    <w:rsid w:val="0079570E"/>
    <w:rsid w:val="00935FBE"/>
    <w:rsid w:val="00B41976"/>
    <w:rsid w:val="00B62EF3"/>
    <w:rsid w:val="00BB31B9"/>
    <w:rsid w:val="00CD38D3"/>
    <w:rsid w:val="00CE7A22"/>
    <w:rsid w:val="00D426DC"/>
    <w:rsid w:val="00E217EB"/>
    <w:rsid w:val="00EC1E20"/>
    <w:rsid w:val="00F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F8A3-29FA-49A4-BFCC-BEDE034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B2A9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B2A9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B2A9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B2A9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B2A9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B2A9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B2A9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B2A9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B2A9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st">
    <w:name w:val="st"/>
    <w:basedOn w:val="Liguvaikefont"/>
    <w:rsid w:val="005F7E71"/>
  </w:style>
  <w:style w:type="character" w:styleId="Rhutus">
    <w:name w:val="Emphasis"/>
    <w:basedOn w:val="Liguvaikefont"/>
    <w:uiPriority w:val="20"/>
    <w:qFormat/>
    <w:rsid w:val="005F7E71"/>
    <w:rPr>
      <w:i/>
      <w:iCs/>
    </w:rPr>
  </w:style>
  <w:style w:type="paragraph" w:styleId="Loendilik">
    <w:name w:val="List Paragraph"/>
    <w:basedOn w:val="Normaallaad"/>
    <w:uiPriority w:val="34"/>
    <w:qFormat/>
    <w:rsid w:val="0042403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2293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2293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79570E"/>
    <w:rPr>
      <w:color w:val="954F72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0B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B2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B2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B2A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B2A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B2A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B2A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B2A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B2A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1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matrade.ee/wp-content/uploads/2018/06/3.1.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matrade.ee/parklaporandad/" TargetMode="External"/><Relationship Id="rId5" Type="http://schemas.openxmlformats.org/officeDocument/2006/relationships/hyperlink" Target="http://www.tarmatrade.ee/rodukatte-susteem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Piirfeld</dc:creator>
  <cp:keywords/>
  <dc:description/>
  <cp:lastModifiedBy>Alar Piirfeld</cp:lastModifiedBy>
  <cp:revision>19</cp:revision>
  <cp:lastPrinted>2018-06-23T04:24:00Z</cp:lastPrinted>
  <dcterms:created xsi:type="dcterms:W3CDTF">2018-06-23T03:25:00Z</dcterms:created>
  <dcterms:modified xsi:type="dcterms:W3CDTF">2018-06-23T06:18:00Z</dcterms:modified>
</cp:coreProperties>
</file>